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410F95F2" w:rsidR="002C1220" w:rsidRPr="006A1EFD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A1EFD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A1EFD">
        <w:rPr>
          <w:rFonts w:cs="Arial"/>
          <w:bCs/>
          <w:noProof w:val="0"/>
          <w:sz w:val="24"/>
          <w:szCs w:val="24"/>
        </w:rPr>
        <w:t>1</w:t>
      </w:r>
      <w:r w:rsidR="007620D1">
        <w:rPr>
          <w:rFonts w:cs="Arial"/>
          <w:bCs/>
          <w:noProof w:val="0"/>
          <w:sz w:val="24"/>
          <w:szCs w:val="24"/>
        </w:rPr>
        <w:t>1</w:t>
      </w:r>
      <w:r w:rsidR="00044AC7" w:rsidRPr="006A1EFD">
        <w:rPr>
          <w:rFonts w:cs="Arial"/>
          <w:bCs/>
          <w:noProof w:val="0"/>
          <w:sz w:val="24"/>
          <w:szCs w:val="24"/>
        </w:rPr>
        <w:t>-e</w:t>
      </w:r>
      <w:r w:rsidR="002C1220" w:rsidRPr="006A1EFD">
        <w:rPr>
          <w:rFonts w:cs="Arial"/>
          <w:bCs/>
          <w:noProof w:val="0"/>
          <w:sz w:val="24"/>
          <w:szCs w:val="24"/>
        </w:rPr>
        <w:tab/>
      </w:r>
      <w:bookmarkStart w:id="1" w:name="_Hlk57886451"/>
      <w:r w:rsidR="002C1220" w:rsidRPr="006A1EFD">
        <w:rPr>
          <w:rFonts w:cs="Arial"/>
          <w:bCs/>
          <w:noProof w:val="0"/>
          <w:sz w:val="24"/>
          <w:szCs w:val="24"/>
        </w:rPr>
        <w:t>R3-</w:t>
      </w:r>
      <w:r w:rsidR="00FA4A45" w:rsidRPr="006A1EFD">
        <w:rPr>
          <w:rFonts w:cs="Arial"/>
          <w:bCs/>
          <w:noProof w:val="0"/>
          <w:sz w:val="24"/>
          <w:szCs w:val="24"/>
        </w:rPr>
        <w:t>2</w:t>
      </w:r>
      <w:r w:rsidR="00652EB8">
        <w:rPr>
          <w:rFonts w:cs="Arial"/>
          <w:bCs/>
          <w:noProof w:val="0"/>
          <w:sz w:val="24"/>
          <w:szCs w:val="24"/>
        </w:rPr>
        <w:t>1</w:t>
      </w:r>
      <w:bookmarkEnd w:id="1"/>
      <w:r w:rsidR="00E0225B">
        <w:rPr>
          <w:rFonts w:cs="Arial"/>
          <w:bCs/>
          <w:noProof w:val="0"/>
          <w:sz w:val="24"/>
          <w:szCs w:val="24"/>
        </w:rPr>
        <w:t>0321</w:t>
      </w:r>
    </w:p>
    <w:bookmarkEnd w:id="0"/>
    <w:p w14:paraId="5669B020" w14:textId="06039DEB" w:rsidR="004C654E" w:rsidRPr="006A1EFD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7620D1">
        <w:rPr>
          <w:rFonts w:eastAsia="MS Mincho" w:cs="Arial"/>
          <w:sz w:val="24"/>
          <w:szCs w:val="24"/>
        </w:rPr>
        <w:t>E-meeting</w:t>
      </w:r>
      <w:r w:rsidR="00FC5FE8" w:rsidRPr="007620D1">
        <w:rPr>
          <w:rFonts w:eastAsia="MS Mincho" w:cs="Arial"/>
          <w:sz w:val="24"/>
          <w:szCs w:val="24"/>
        </w:rPr>
        <w:t xml:space="preserve">, </w:t>
      </w:r>
      <w:r w:rsidR="006A213B" w:rsidRPr="007620D1">
        <w:rPr>
          <w:rFonts w:eastAsia="MS Mincho" w:cs="Arial"/>
          <w:sz w:val="24"/>
          <w:szCs w:val="24"/>
        </w:rPr>
        <w:t>2</w:t>
      </w:r>
      <w:r w:rsidR="007620D1" w:rsidRPr="007620D1">
        <w:rPr>
          <w:rFonts w:eastAsia="MS Mincho" w:cs="Arial"/>
          <w:sz w:val="24"/>
          <w:szCs w:val="24"/>
        </w:rPr>
        <w:t>5.01</w:t>
      </w:r>
      <w:r w:rsidR="00FA4A45" w:rsidRPr="007620D1">
        <w:rPr>
          <w:rFonts w:eastAsia="MS Mincho" w:cs="Arial"/>
          <w:sz w:val="24"/>
          <w:szCs w:val="24"/>
        </w:rPr>
        <w:t>-</w:t>
      </w:r>
      <w:r w:rsidR="007620D1" w:rsidRPr="007620D1">
        <w:rPr>
          <w:rFonts w:eastAsia="MS Mincho" w:cs="Arial"/>
          <w:sz w:val="24"/>
          <w:szCs w:val="24"/>
        </w:rPr>
        <w:t>05.02.</w:t>
      </w:r>
      <w:r w:rsidR="005F10C3" w:rsidRPr="007620D1">
        <w:rPr>
          <w:rFonts w:eastAsia="MS Mincho" w:cs="Arial"/>
          <w:sz w:val="24"/>
          <w:szCs w:val="24"/>
        </w:rPr>
        <w:t>20</w:t>
      </w:r>
      <w:r w:rsidR="00FA4A45" w:rsidRPr="007620D1">
        <w:rPr>
          <w:rFonts w:eastAsia="MS Mincho" w:cs="Arial"/>
          <w:sz w:val="24"/>
          <w:szCs w:val="24"/>
        </w:rPr>
        <w:t>2</w:t>
      </w:r>
      <w:r w:rsidR="007620D1" w:rsidRPr="007620D1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6A1EFD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5D71E4C4" w:rsidR="002F2360" w:rsidRPr="006A1EFD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7620D1">
        <w:rPr>
          <w:rFonts w:cs="Arial"/>
          <w:b/>
          <w:bCs/>
          <w:sz w:val="24"/>
        </w:rPr>
        <w:t>Agenda item:</w:t>
      </w:r>
      <w:r w:rsidRPr="007620D1">
        <w:rPr>
          <w:rFonts w:cs="Arial"/>
          <w:b/>
          <w:bCs/>
          <w:sz w:val="24"/>
        </w:rPr>
        <w:tab/>
      </w:r>
      <w:r w:rsidR="000C720B" w:rsidRPr="007620D1">
        <w:rPr>
          <w:rFonts w:cs="Arial"/>
          <w:b/>
          <w:bCs/>
          <w:sz w:val="24"/>
        </w:rPr>
        <w:t>10.2.1.5</w:t>
      </w:r>
    </w:p>
    <w:p w14:paraId="02505283" w14:textId="77777777" w:rsidR="002F2360" w:rsidRPr="006A1EFD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A1EFD">
        <w:rPr>
          <w:rFonts w:ascii="Arial" w:hAnsi="Arial" w:cs="Arial"/>
          <w:b/>
          <w:bCs/>
          <w:sz w:val="24"/>
        </w:rPr>
        <w:t>Source:</w:t>
      </w:r>
      <w:r w:rsidRPr="006A1EFD">
        <w:rPr>
          <w:rFonts w:ascii="Arial" w:hAnsi="Arial" w:cs="Arial"/>
          <w:b/>
          <w:bCs/>
          <w:sz w:val="24"/>
        </w:rPr>
        <w:tab/>
        <w:t xml:space="preserve">Nokia, </w:t>
      </w:r>
      <w:r w:rsidRPr="006A1E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6A1EFD">
        <w:rPr>
          <w:rFonts w:ascii="Arial" w:hAnsi="Arial" w:cs="Arial"/>
          <w:b/>
          <w:bCs/>
          <w:sz w:val="24"/>
        </w:rPr>
        <w:t>Shanghai Bell</w:t>
      </w:r>
    </w:p>
    <w:p w14:paraId="5E7A28BB" w14:textId="1F94A70C" w:rsidR="00CD4C7B" w:rsidRPr="006A1EFD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A1EFD">
        <w:rPr>
          <w:rFonts w:ascii="Arial" w:hAnsi="Arial" w:cs="Arial"/>
          <w:b/>
          <w:bCs/>
          <w:sz w:val="24"/>
        </w:rPr>
        <w:t>Title:</w:t>
      </w:r>
      <w:r w:rsidRPr="006A1EFD">
        <w:rPr>
          <w:rFonts w:ascii="Arial" w:hAnsi="Arial" w:cs="Arial"/>
          <w:b/>
          <w:bCs/>
          <w:sz w:val="24"/>
        </w:rPr>
        <w:tab/>
      </w:r>
      <w:r w:rsidR="006A1EFD" w:rsidRPr="006A1EFD">
        <w:rPr>
          <w:rFonts w:ascii="Arial" w:hAnsi="Arial" w:cs="Arial"/>
          <w:b/>
          <w:bCs/>
          <w:sz w:val="24"/>
        </w:rPr>
        <w:t>Load information enhancements</w:t>
      </w:r>
      <w:r w:rsidR="007620D1">
        <w:rPr>
          <w:rFonts w:ascii="Arial" w:hAnsi="Arial" w:cs="Arial"/>
          <w:b/>
          <w:bCs/>
          <w:sz w:val="24"/>
        </w:rPr>
        <w:t xml:space="preserve"> for BWP</w:t>
      </w:r>
    </w:p>
    <w:p w14:paraId="0F79702C" w14:textId="0AE6489D" w:rsidR="00CD4C7B" w:rsidRPr="006A1EFD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A1EFD">
        <w:rPr>
          <w:rFonts w:ascii="Arial" w:hAnsi="Arial" w:cs="Arial"/>
          <w:b/>
          <w:bCs/>
          <w:sz w:val="24"/>
        </w:rPr>
        <w:t>Document for:</w:t>
      </w:r>
      <w:r w:rsidRPr="006A1EFD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6A1EFD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6A1EFD" w:rsidRDefault="00CD4C7B" w:rsidP="00EE13A8">
      <w:pPr>
        <w:pStyle w:val="Heading1"/>
        <w:tabs>
          <w:tab w:val="left" w:pos="2410"/>
        </w:tabs>
      </w:pPr>
      <w:r w:rsidRPr="006A1EFD">
        <w:t>1</w:t>
      </w:r>
      <w:r w:rsidRPr="006A1EFD">
        <w:tab/>
      </w:r>
      <w:r w:rsidR="0056573F" w:rsidRPr="006A1EFD">
        <w:t>Introduction</w:t>
      </w:r>
    </w:p>
    <w:p w14:paraId="4CAD8B08" w14:textId="1147D4A7" w:rsidR="005E3D0F" w:rsidRPr="006A1EFD" w:rsidRDefault="00487F58" w:rsidP="008572DC">
      <w:bookmarkStart w:id="2" w:name="_Toc474247438"/>
      <w:r>
        <w:t>M</w:t>
      </w:r>
      <w:r w:rsidR="006A1EFD" w:rsidRPr="006A1EFD">
        <w:t>ultiple proposals for load information enhancements or corrections were made</w:t>
      </w:r>
      <w:r>
        <w:t xml:space="preserve"> during previous RAN3 meetings</w:t>
      </w:r>
      <w:r w:rsidR="006A1EFD" w:rsidRPr="006A1EFD">
        <w:t xml:space="preserve">. In this paper, we </w:t>
      </w:r>
      <w:r w:rsidR="00C422AE">
        <w:t>describe the problem of the use of BWP to calculate the load of a Cell.</w:t>
      </w:r>
    </w:p>
    <w:p w14:paraId="309917E7" w14:textId="77777777" w:rsidR="00051152" w:rsidRPr="006A1EFD" w:rsidRDefault="00BE5235" w:rsidP="00051152">
      <w:pPr>
        <w:pStyle w:val="Heading1"/>
        <w:tabs>
          <w:tab w:val="left" w:pos="2410"/>
        </w:tabs>
      </w:pPr>
      <w:r w:rsidRPr="006A1EFD">
        <w:t>2</w:t>
      </w:r>
      <w:r w:rsidR="00051152" w:rsidRPr="006A1EFD">
        <w:tab/>
      </w:r>
      <w:r w:rsidRPr="006A1EFD">
        <w:t>Discussion</w:t>
      </w:r>
    </w:p>
    <w:bookmarkEnd w:id="2"/>
    <w:p w14:paraId="6D2E559A" w14:textId="315436D0" w:rsidR="00DB75AD" w:rsidRDefault="00DB75AD" w:rsidP="00DB75AD">
      <w:pPr>
        <w:pStyle w:val="Heading2"/>
      </w:pPr>
      <w:r>
        <w:t>2.</w:t>
      </w:r>
      <w:r w:rsidR="0081142D">
        <w:t>1</w:t>
      </w:r>
      <w:r>
        <w:tab/>
        <w:t>Load information per BWP</w:t>
      </w:r>
    </w:p>
    <w:p w14:paraId="1766A5E8" w14:textId="00BAD674" w:rsidR="000C720B" w:rsidRDefault="000C720B" w:rsidP="000C720B">
      <w:r>
        <w:t xml:space="preserve">This problem was originally presented in </w:t>
      </w:r>
      <w:bookmarkStart w:id="3" w:name="_GoBack"/>
      <w:bookmarkEnd w:id="3"/>
      <w:r w:rsidR="003870E7">
        <w:t xml:space="preserve">and </w:t>
      </w:r>
      <w:r w:rsidR="003870E7" w:rsidRPr="003870E7">
        <w:t>R3-205952</w:t>
      </w:r>
      <w:r w:rsidR="003870E7">
        <w:t xml:space="preserve"> (RAN3#110)</w:t>
      </w:r>
      <w:r>
        <w:t>.</w:t>
      </w:r>
    </w:p>
    <w:p w14:paraId="2018DC0B" w14:textId="5BA1FA90" w:rsidR="00DB75AD" w:rsidRDefault="00DB75AD" w:rsidP="00DB75AD">
      <w:r>
        <w:t>For PRB usage report and for CAC report, it has been agreed to have a report per Beam (or per SSB). We describe below some points to consider.</w:t>
      </w:r>
    </w:p>
    <w:p w14:paraId="74BE5F18" w14:textId="325BE908" w:rsidR="00DB75AD" w:rsidRDefault="00DB75AD" w:rsidP="00DB75AD">
      <w:r>
        <w:t>In NR, it is possible to use several BWPs (</w:t>
      </w:r>
      <w:r w:rsidRPr="00E87313">
        <w:t xml:space="preserve">Bandwidth </w:t>
      </w:r>
      <w:r w:rsidR="006A7A4D">
        <w:t>Part</w:t>
      </w:r>
      <w:r w:rsidR="00F4075E">
        <w:t>s</w:t>
      </w:r>
      <w:r>
        <w:t xml:space="preserve">) within a Cell. </w:t>
      </w:r>
      <w:r w:rsidRPr="00E87313">
        <w:t>Bandwidth Adaptation</w:t>
      </w:r>
      <w:r>
        <w:t xml:space="preserve"> is described in TS </w:t>
      </w:r>
      <w:r w:rsidRPr="00DB75AD">
        <w:t>38.300</w:t>
      </w:r>
      <w:r>
        <w:t>, section 6.10. The figure below shows an example of BWP configuration in a cell, for Bandwidth Adaptation.</w:t>
      </w:r>
    </w:p>
    <w:p w14:paraId="46531866" w14:textId="0B07B412" w:rsidR="00DB75AD" w:rsidRPr="002E50A6" w:rsidRDefault="002F3150" w:rsidP="00DB75AD">
      <w:pPr>
        <w:jc w:val="center"/>
      </w:pPr>
      <w:r w:rsidRPr="00653C72">
        <w:rPr>
          <w:noProof/>
        </w:rPr>
        <w:object w:dxaOrig="4081" w:dyaOrig="4216" w14:anchorId="61B1D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.2pt;height:211.2pt" o:ole="">
            <v:imagedata r:id="rId14" o:title=""/>
          </v:shape>
          <o:OLEObject Type="Embed" ProgID="Visio.Drawing.11" ShapeID="_x0000_i1025" DrawAspect="Content" ObjectID="_1672131029" r:id="rId15"/>
        </w:object>
      </w:r>
    </w:p>
    <w:p w14:paraId="7CDBE47B" w14:textId="77777777" w:rsidR="00DB75AD" w:rsidRPr="002E50A6" w:rsidRDefault="00DB75AD" w:rsidP="00DB75AD">
      <w:pPr>
        <w:jc w:val="center"/>
      </w:pPr>
      <w:r w:rsidRPr="002E50A6">
        <w:t xml:space="preserve">Figure </w:t>
      </w:r>
      <w:r>
        <w:t>1</w:t>
      </w:r>
      <w:r w:rsidRPr="002E50A6">
        <w:t xml:space="preserve">: Example of </w:t>
      </w:r>
      <w:r>
        <w:t>BWPs in a Cell</w:t>
      </w:r>
    </w:p>
    <w:p w14:paraId="1AD94450" w14:textId="06FA5913" w:rsidR="00DB75AD" w:rsidRPr="00B06B0B" w:rsidRDefault="00DB75AD" w:rsidP="00DB75AD">
      <w:r>
        <w:t>T</w:t>
      </w:r>
      <w:r w:rsidRPr="007D07ED">
        <w:t xml:space="preserve">he figure </w:t>
      </w:r>
      <w:r w:rsidR="00262F27">
        <w:t>1</w:t>
      </w:r>
      <w:r w:rsidRPr="007D07ED">
        <w:t xml:space="preserve"> above illustrate</w:t>
      </w:r>
      <w:r>
        <w:t>s</w:t>
      </w:r>
      <w:r w:rsidRPr="007D07ED">
        <w:t xml:space="preserve"> the case of different</w:t>
      </w:r>
      <w:r>
        <w:t xml:space="preserve"> BWPs configured in a cell. BWP</w:t>
      </w:r>
      <w:r>
        <w:rPr>
          <w:vertAlign w:val="subscript"/>
        </w:rPr>
        <w:t>0</w:t>
      </w:r>
      <w:r>
        <w:t xml:space="preserve"> is the </w:t>
      </w:r>
      <w:r w:rsidRPr="007620D1">
        <w:rPr>
          <w:i/>
          <w:iCs/>
        </w:rPr>
        <w:t>initial BWP</w:t>
      </w:r>
      <w:r>
        <w:t>. BWP</w:t>
      </w:r>
      <w:r>
        <w:rPr>
          <w:vertAlign w:val="subscript"/>
        </w:rPr>
        <w:t>1</w:t>
      </w:r>
      <w:r>
        <w:t xml:space="preserve"> </w:t>
      </w:r>
      <w:r w:rsidR="00C22D76">
        <w:t>is</w:t>
      </w:r>
      <w:r>
        <w:t xml:space="preserve"> used for heavier traffic usage. The BWPs belong to the same cell and are located within the total cell bandwidth.</w:t>
      </w:r>
    </w:p>
    <w:p w14:paraId="1C1E6DD5" w14:textId="00C0D84A" w:rsidR="00DB75AD" w:rsidRDefault="00DB75AD" w:rsidP="00DB75AD">
      <w:r>
        <w:lastRenderedPageBreak/>
        <w:t>Note that the BWP</w:t>
      </w:r>
      <w:r w:rsidR="00851ADF">
        <w:t>s</w:t>
      </w:r>
      <w:r>
        <w:t xml:space="preserve"> are overlapping which is considered as the most probable use of BWP in NR. </w:t>
      </w:r>
      <w:proofErr w:type="gramStart"/>
      <w:r>
        <w:t>As a consequence</w:t>
      </w:r>
      <w:proofErr w:type="gramEnd"/>
      <w:r>
        <w:t xml:space="preserve">, both BWP can use the CD-SSB </w:t>
      </w:r>
      <w:r w:rsidR="00132EB9">
        <w:t xml:space="preserve">as </w:t>
      </w:r>
      <w:r w:rsidR="00EC6CA3">
        <w:t xml:space="preserve">first used </w:t>
      </w:r>
      <w:r>
        <w:t>BWP</w:t>
      </w:r>
      <w:r w:rsidR="00286B5A">
        <w:t xml:space="preserve"> during Handover</w:t>
      </w:r>
      <w:r>
        <w:t>. However, in current specifications, it is only possible to report the load of the whole cell</w:t>
      </w:r>
      <w:r w:rsidR="003D687E">
        <w:t>.</w:t>
      </w:r>
      <w:r w:rsidR="00511A17">
        <w:t xml:space="preserve"> In our example the spectrum of the cell is the spectrum of BWP1.</w:t>
      </w:r>
    </w:p>
    <w:p w14:paraId="1005DB71" w14:textId="1BB70C80" w:rsidR="00DB75AD" w:rsidRDefault="00DB75AD" w:rsidP="00DB75AD">
      <w:r>
        <w:t>Resource reporting per SSB, as already available, or per slice, as proposed for Rel.17, does yet solve the problem – the only option is to enable reporting per BWP, too. This may be particularly relevant if BWPs are linked with specific services.</w:t>
      </w:r>
    </w:p>
    <w:p w14:paraId="586752E1" w14:textId="4FF0C1F2" w:rsidR="003870E7" w:rsidRDefault="003870E7" w:rsidP="00DB75AD">
      <w:r>
        <w:t>Let’s consider a scenario for mobility from Cell A to Cell B. Cell B has a BWP configuration</w:t>
      </w:r>
      <w:r w:rsidR="00076577">
        <w:t xml:space="preserve"> described in Figure 1.</w:t>
      </w:r>
    </w:p>
    <w:p w14:paraId="624D48EA" w14:textId="7E0D73F4" w:rsidR="00076577" w:rsidRDefault="00076577" w:rsidP="00DB75AD">
      <w:r>
        <w:t xml:space="preserve">The Initial BWP (BWP 0) may be </w:t>
      </w:r>
      <w:r w:rsidR="00FB47DC">
        <w:t>fully</w:t>
      </w:r>
      <w:r>
        <w:t xml:space="preserve"> loaded (</w:t>
      </w:r>
      <w:r w:rsidR="00FB47DC">
        <w:t>100</w:t>
      </w:r>
      <w:r>
        <w:t xml:space="preserve"> % loaded) but BWP 1 not much loaded (</w:t>
      </w:r>
      <w:r w:rsidR="00215DFE">
        <w:t>29</w:t>
      </w:r>
      <w:r>
        <w:t>%)</w:t>
      </w:r>
      <w:r w:rsidR="00485002">
        <w:t>.</w:t>
      </w:r>
    </w:p>
    <w:p w14:paraId="7F584818" w14:textId="43715E56" w:rsidR="00FB47DC" w:rsidRDefault="00FB47DC" w:rsidP="00DB75AD">
      <w:r>
        <w:t>The figure below shows the load per 20MHz:</w:t>
      </w:r>
    </w:p>
    <w:p w14:paraId="32581B47" w14:textId="58EA970C" w:rsidR="00FB47DC" w:rsidRDefault="00B61A9F" w:rsidP="007620D1">
      <w:pPr>
        <w:keepNext/>
        <w:jc w:val="center"/>
      </w:pPr>
      <w:r w:rsidRPr="00653C72">
        <w:rPr>
          <w:noProof/>
        </w:rPr>
        <w:object w:dxaOrig="4081" w:dyaOrig="4216" w14:anchorId="52E9DD75">
          <v:shape id="_x0000_i1026" type="#_x0000_t75" alt="" style="width:202.2pt;height:211.2pt" o:ole="">
            <v:imagedata r:id="rId16" o:title=""/>
          </v:shape>
          <o:OLEObject Type="Embed" ProgID="Visio.Drawing.11" ShapeID="_x0000_i1026" DrawAspect="Content" ObjectID="_1672131030" r:id="rId17"/>
        </w:object>
      </w:r>
    </w:p>
    <w:p w14:paraId="6F3CE6FA" w14:textId="60315758" w:rsidR="00FB47DC" w:rsidRDefault="00FB47DC" w:rsidP="007620D1">
      <w:pPr>
        <w:pStyle w:val="Caption"/>
        <w:jc w:val="center"/>
      </w:pPr>
      <w:r>
        <w:t>Figure 2: Example of load distribution per 20MHz</w:t>
      </w:r>
    </w:p>
    <w:p w14:paraId="6C812A6B" w14:textId="10568A6F" w:rsidR="00076577" w:rsidRDefault="00076577" w:rsidP="00DB75AD">
      <w:r>
        <w:t xml:space="preserve">In the current Load reporting configuration only the load of the whole Cell reporting. Which in our case would be </w:t>
      </w:r>
      <w:proofErr w:type="gramStart"/>
      <w:r w:rsidR="00D03135">
        <w:t xml:space="preserve">around </w:t>
      </w:r>
      <w:r w:rsidR="00FB47DC">
        <w:t>2</w:t>
      </w:r>
      <w:r w:rsidR="003D5944">
        <w:t>9</w:t>
      </w:r>
      <w:r w:rsidR="00D03135">
        <w:t>%.</w:t>
      </w:r>
      <w:proofErr w:type="gramEnd"/>
      <w:r w:rsidR="00D03135">
        <w:t xml:space="preserve"> But becau</w:t>
      </w:r>
      <w:r w:rsidR="4E34666F">
        <w:t>s</w:t>
      </w:r>
      <w:r w:rsidR="00D03135">
        <w:t>e the BWP0 is full, UE should not be sent to this BWP.</w:t>
      </w:r>
    </w:p>
    <w:p w14:paraId="7E41F4B0" w14:textId="630986B5" w:rsidR="00D03135" w:rsidRDefault="00D03135" w:rsidP="00DB75AD">
      <w:r>
        <w:t>One could argue that the target cell</w:t>
      </w:r>
      <w:r w:rsidR="003D5944">
        <w:t xml:space="preserve"> </w:t>
      </w:r>
      <w:r>
        <w:t xml:space="preserve">(Target gNB CU to be precise) </w:t>
      </w:r>
      <w:proofErr w:type="gramStart"/>
      <w:r>
        <w:t>is in charge of</w:t>
      </w:r>
      <w:proofErr w:type="gramEnd"/>
      <w:r>
        <w:t xml:space="preserve"> the BWP allocation in target cell during Handover. But some UE would not be capable of being allocated any other BWP than BWP0 in the target cell because of </w:t>
      </w:r>
      <w:r w:rsidR="005F0CFF">
        <w:t>their</w:t>
      </w:r>
      <w:r>
        <w:t xml:space="preserve"> </w:t>
      </w:r>
      <w:r w:rsidR="005F0CFF">
        <w:t>capability. A UE may not be able to be served by a BWP larger than 20MHz.</w:t>
      </w:r>
    </w:p>
    <w:p w14:paraId="28B57E38" w14:textId="0ED01E9D" w:rsidR="005F0CFF" w:rsidRDefault="005F0CFF" w:rsidP="00DB75AD">
      <w:r>
        <w:t xml:space="preserve">In this scenario, it makes sense to know the load of the </w:t>
      </w:r>
      <w:r w:rsidR="007620D1">
        <w:t xml:space="preserve">initial </w:t>
      </w:r>
      <w:r>
        <w:t>BPW in the cell</w:t>
      </w:r>
      <w:r w:rsidR="00E46DED">
        <w:t xml:space="preserve"> for the gNB-CU (from the gNB-DU) and for neighbouring gNBs </w:t>
      </w:r>
    </w:p>
    <w:p w14:paraId="4BC03B1E" w14:textId="79662858" w:rsidR="00DB75AD" w:rsidRDefault="00475A00" w:rsidP="00DB75AD">
      <w:pPr>
        <w:rPr>
          <w:b/>
          <w:bCs/>
        </w:rPr>
      </w:pPr>
      <w:r>
        <w:rPr>
          <w:b/>
          <w:bCs/>
        </w:rPr>
        <w:t>P</w:t>
      </w:r>
      <w:r w:rsidR="00DB75AD" w:rsidRPr="00BF11A3">
        <w:rPr>
          <w:b/>
          <w:bCs/>
        </w:rPr>
        <w:t>roposal: It should</w:t>
      </w:r>
      <w:r w:rsidR="00DB75AD" w:rsidRPr="009E2C3D">
        <w:rPr>
          <w:b/>
          <w:bCs/>
        </w:rPr>
        <w:t xml:space="preserve"> be possible to indicate the load of the </w:t>
      </w:r>
      <w:r w:rsidR="007620D1">
        <w:rPr>
          <w:b/>
          <w:bCs/>
        </w:rPr>
        <w:t>initial</w:t>
      </w:r>
      <w:r w:rsidR="00DB75AD" w:rsidRPr="009E2C3D">
        <w:rPr>
          <w:b/>
          <w:bCs/>
        </w:rPr>
        <w:t xml:space="preserve"> BWP</w:t>
      </w:r>
      <w:r w:rsidR="007620D1">
        <w:rPr>
          <w:b/>
          <w:bCs/>
        </w:rPr>
        <w:t xml:space="preserve"> separately from the overall load</w:t>
      </w:r>
    </w:p>
    <w:p w14:paraId="61DE0BC8" w14:textId="0DF82A60" w:rsidR="007108E3" w:rsidRPr="000C720B" w:rsidRDefault="00DB75AD" w:rsidP="00E0225B">
      <w:pPr>
        <w:rPr>
          <w:b/>
          <w:bCs/>
        </w:rPr>
      </w:pPr>
      <w:r>
        <w:t xml:space="preserve">This information could be delivered as PRB usage or Composite Available Capacity </w:t>
      </w:r>
    </w:p>
    <w:p w14:paraId="28E42E52" w14:textId="77777777" w:rsidR="000F16C4" w:rsidRPr="006A1EFD" w:rsidRDefault="00CD2620" w:rsidP="00E00CEF">
      <w:pPr>
        <w:pStyle w:val="Heading1"/>
      </w:pPr>
      <w:r w:rsidRPr="006A1EFD">
        <w:t>3</w:t>
      </w:r>
      <w:r w:rsidR="000F16C4" w:rsidRPr="006A1EFD">
        <w:tab/>
      </w:r>
      <w:r w:rsidRPr="006A1EFD">
        <w:t>Conclusions</w:t>
      </w:r>
    </w:p>
    <w:p w14:paraId="01293442" w14:textId="7B6A3A9C" w:rsidR="0022219E" w:rsidRDefault="00C46F5C" w:rsidP="0022219E">
      <w:pPr>
        <w:overflowPunct w:val="0"/>
        <w:autoSpaceDE w:val="0"/>
        <w:autoSpaceDN w:val="0"/>
        <w:adjustRightInd w:val="0"/>
        <w:textAlignment w:val="baseline"/>
      </w:pPr>
      <w:r>
        <w:t>In this contribution, we made the following proposal</w:t>
      </w:r>
      <w:r w:rsidR="00BF11A3">
        <w:t>:</w:t>
      </w:r>
    </w:p>
    <w:p w14:paraId="4B437B17" w14:textId="6A660DE3" w:rsidR="007620D1" w:rsidRDefault="007620D1" w:rsidP="007620D1">
      <w:pPr>
        <w:rPr>
          <w:b/>
          <w:bCs/>
        </w:rPr>
      </w:pPr>
      <w:r>
        <w:rPr>
          <w:b/>
          <w:bCs/>
        </w:rPr>
        <w:t>P</w:t>
      </w:r>
      <w:r w:rsidRPr="00BF11A3">
        <w:rPr>
          <w:b/>
          <w:bCs/>
        </w:rPr>
        <w:t>roposal: It should</w:t>
      </w:r>
      <w:r w:rsidRPr="009E2C3D">
        <w:rPr>
          <w:b/>
          <w:bCs/>
        </w:rPr>
        <w:t xml:space="preserve"> be possible to indicate the load of the </w:t>
      </w:r>
      <w:r>
        <w:rPr>
          <w:b/>
          <w:bCs/>
        </w:rPr>
        <w:t>initial</w:t>
      </w:r>
      <w:r w:rsidRPr="009E2C3D">
        <w:rPr>
          <w:b/>
          <w:bCs/>
        </w:rPr>
        <w:t xml:space="preserve"> BWP</w:t>
      </w:r>
      <w:r>
        <w:rPr>
          <w:b/>
          <w:bCs/>
        </w:rPr>
        <w:t xml:space="preserve"> separately from the overall load</w:t>
      </w:r>
    </w:p>
    <w:p w14:paraId="35577ECA" w14:textId="4A341E25" w:rsidR="00BF11A3" w:rsidRPr="006A1EFD" w:rsidRDefault="00BF11A3" w:rsidP="0022219E">
      <w:pPr>
        <w:overflowPunct w:val="0"/>
        <w:autoSpaceDE w:val="0"/>
        <w:autoSpaceDN w:val="0"/>
        <w:adjustRightInd w:val="0"/>
        <w:textAlignment w:val="baseline"/>
      </w:pPr>
    </w:p>
    <w:sectPr w:rsidR="00BF11A3" w:rsidRPr="006A1E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793B5" w14:textId="77777777" w:rsidR="00595C9E" w:rsidRDefault="00595C9E">
      <w:r>
        <w:separator/>
      </w:r>
    </w:p>
  </w:endnote>
  <w:endnote w:type="continuationSeparator" w:id="0">
    <w:p w14:paraId="3810A86D" w14:textId="77777777" w:rsidR="00595C9E" w:rsidRDefault="00595C9E">
      <w:r>
        <w:continuationSeparator/>
      </w:r>
    </w:p>
  </w:endnote>
  <w:endnote w:type="continuationNotice" w:id="1">
    <w:p w14:paraId="731E11BC" w14:textId="77777777" w:rsidR="00595C9E" w:rsidRDefault="00595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C08FA" w14:textId="77777777" w:rsidR="00595C9E" w:rsidRDefault="00595C9E">
      <w:r>
        <w:separator/>
      </w:r>
    </w:p>
  </w:footnote>
  <w:footnote w:type="continuationSeparator" w:id="0">
    <w:p w14:paraId="2B320E32" w14:textId="77777777" w:rsidR="00595C9E" w:rsidRDefault="00595C9E">
      <w:r>
        <w:continuationSeparator/>
      </w:r>
    </w:p>
  </w:footnote>
  <w:footnote w:type="continuationNotice" w:id="1">
    <w:p w14:paraId="450A6638" w14:textId="77777777" w:rsidR="00595C9E" w:rsidRDefault="00595C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0D98FC18"/>
    <w:lvl w:ilvl="0" w:tplc="D2CC948E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AD983A66">
      <w:numFmt w:val="decimal"/>
      <w:lvlText w:val=""/>
      <w:lvlJc w:val="left"/>
    </w:lvl>
    <w:lvl w:ilvl="2" w:tplc="C41CDCD4">
      <w:numFmt w:val="decimal"/>
      <w:lvlText w:val=""/>
      <w:lvlJc w:val="left"/>
    </w:lvl>
    <w:lvl w:ilvl="3" w:tplc="6B0057FA">
      <w:numFmt w:val="decimal"/>
      <w:lvlText w:val=""/>
      <w:lvlJc w:val="left"/>
    </w:lvl>
    <w:lvl w:ilvl="4" w:tplc="87BA8CA6">
      <w:numFmt w:val="decimal"/>
      <w:lvlText w:val=""/>
      <w:lvlJc w:val="left"/>
    </w:lvl>
    <w:lvl w:ilvl="5" w:tplc="5A5CEE5C">
      <w:numFmt w:val="decimal"/>
      <w:lvlText w:val=""/>
      <w:lvlJc w:val="left"/>
    </w:lvl>
    <w:lvl w:ilvl="6" w:tplc="D7601A78">
      <w:numFmt w:val="decimal"/>
      <w:lvlText w:val=""/>
      <w:lvlJc w:val="left"/>
    </w:lvl>
    <w:lvl w:ilvl="7" w:tplc="F760BF3A">
      <w:numFmt w:val="decimal"/>
      <w:lvlText w:val=""/>
      <w:lvlJc w:val="left"/>
    </w:lvl>
    <w:lvl w:ilvl="8" w:tplc="C22CC0EC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45DA4ADA"/>
    <w:lvl w:ilvl="0" w:tplc="A94C728E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427E42B6">
      <w:numFmt w:val="decimal"/>
      <w:lvlText w:val=""/>
      <w:lvlJc w:val="left"/>
    </w:lvl>
    <w:lvl w:ilvl="2" w:tplc="9E280578">
      <w:numFmt w:val="decimal"/>
      <w:lvlText w:val=""/>
      <w:lvlJc w:val="left"/>
    </w:lvl>
    <w:lvl w:ilvl="3" w:tplc="49629D76">
      <w:numFmt w:val="decimal"/>
      <w:lvlText w:val=""/>
      <w:lvlJc w:val="left"/>
    </w:lvl>
    <w:lvl w:ilvl="4" w:tplc="5A8C23AE">
      <w:numFmt w:val="decimal"/>
      <w:lvlText w:val=""/>
      <w:lvlJc w:val="left"/>
    </w:lvl>
    <w:lvl w:ilvl="5" w:tplc="1EECC8C6">
      <w:numFmt w:val="decimal"/>
      <w:lvlText w:val=""/>
      <w:lvlJc w:val="left"/>
    </w:lvl>
    <w:lvl w:ilvl="6" w:tplc="EAE0147A">
      <w:numFmt w:val="decimal"/>
      <w:lvlText w:val=""/>
      <w:lvlJc w:val="left"/>
    </w:lvl>
    <w:lvl w:ilvl="7" w:tplc="CB10D6B4">
      <w:numFmt w:val="decimal"/>
      <w:lvlText w:val=""/>
      <w:lvlJc w:val="left"/>
    </w:lvl>
    <w:lvl w:ilvl="8" w:tplc="43F80F2A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AF944646"/>
    <w:lvl w:ilvl="0" w:tplc="90A0E79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A1F6077E">
      <w:numFmt w:val="decimal"/>
      <w:lvlText w:val=""/>
      <w:lvlJc w:val="left"/>
    </w:lvl>
    <w:lvl w:ilvl="2" w:tplc="E5FA2F9A">
      <w:numFmt w:val="decimal"/>
      <w:lvlText w:val=""/>
      <w:lvlJc w:val="left"/>
    </w:lvl>
    <w:lvl w:ilvl="3" w:tplc="761A47AE">
      <w:numFmt w:val="decimal"/>
      <w:lvlText w:val=""/>
      <w:lvlJc w:val="left"/>
    </w:lvl>
    <w:lvl w:ilvl="4" w:tplc="2E4207B2">
      <w:numFmt w:val="decimal"/>
      <w:lvlText w:val=""/>
      <w:lvlJc w:val="left"/>
    </w:lvl>
    <w:lvl w:ilvl="5" w:tplc="AD88B8D2">
      <w:numFmt w:val="decimal"/>
      <w:lvlText w:val=""/>
      <w:lvlJc w:val="left"/>
    </w:lvl>
    <w:lvl w:ilvl="6" w:tplc="05EA55FA">
      <w:numFmt w:val="decimal"/>
      <w:lvlText w:val=""/>
      <w:lvlJc w:val="left"/>
    </w:lvl>
    <w:lvl w:ilvl="7" w:tplc="CB400EDE">
      <w:numFmt w:val="decimal"/>
      <w:lvlText w:val=""/>
      <w:lvlJc w:val="left"/>
    </w:lvl>
    <w:lvl w:ilvl="8" w:tplc="B3880646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FF24CA70"/>
    <w:lvl w:ilvl="0" w:tplc="27A423DA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9DA96A8">
      <w:numFmt w:val="decimal"/>
      <w:lvlText w:val=""/>
      <w:lvlJc w:val="left"/>
    </w:lvl>
    <w:lvl w:ilvl="2" w:tplc="33A23FB4">
      <w:numFmt w:val="decimal"/>
      <w:lvlText w:val=""/>
      <w:lvlJc w:val="left"/>
    </w:lvl>
    <w:lvl w:ilvl="3" w:tplc="5FD4E498">
      <w:numFmt w:val="decimal"/>
      <w:lvlText w:val=""/>
      <w:lvlJc w:val="left"/>
    </w:lvl>
    <w:lvl w:ilvl="4" w:tplc="5232A168">
      <w:numFmt w:val="decimal"/>
      <w:lvlText w:val=""/>
      <w:lvlJc w:val="left"/>
    </w:lvl>
    <w:lvl w:ilvl="5" w:tplc="C014744A">
      <w:numFmt w:val="decimal"/>
      <w:lvlText w:val=""/>
      <w:lvlJc w:val="left"/>
    </w:lvl>
    <w:lvl w:ilvl="6" w:tplc="C7103FA2">
      <w:numFmt w:val="decimal"/>
      <w:lvlText w:val=""/>
      <w:lvlJc w:val="left"/>
    </w:lvl>
    <w:lvl w:ilvl="7" w:tplc="BDFA96BC">
      <w:numFmt w:val="decimal"/>
      <w:lvlText w:val=""/>
      <w:lvlJc w:val="left"/>
    </w:lvl>
    <w:lvl w:ilvl="8" w:tplc="3AA0A046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1C3802E8"/>
    <w:lvl w:ilvl="0" w:tplc="7CBA59A2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5AEC7BA">
      <w:numFmt w:val="decimal"/>
      <w:lvlText w:val=""/>
      <w:lvlJc w:val="left"/>
    </w:lvl>
    <w:lvl w:ilvl="2" w:tplc="BC48C0B6">
      <w:numFmt w:val="decimal"/>
      <w:lvlText w:val=""/>
      <w:lvlJc w:val="left"/>
    </w:lvl>
    <w:lvl w:ilvl="3" w:tplc="90604B70">
      <w:numFmt w:val="decimal"/>
      <w:lvlText w:val=""/>
      <w:lvlJc w:val="left"/>
    </w:lvl>
    <w:lvl w:ilvl="4" w:tplc="7F185F1E">
      <w:numFmt w:val="decimal"/>
      <w:lvlText w:val=""/>
      <w:lvlJc w:val="left"/>
    </w:lvl>
    <w:lvl w:ilvl="5" w:tplc="92DA1CC0">
      <w:numFmt w:val="decimal"/>
      <w:lvlText w:val=""/>
      <w:lvlJc w:val="left"/>
    </w:lvl>
    <w:lvl w:ilvl="6" w:tplc="3D02FF2C">
      <w:numFmt w:val="decimal"/>
      <w:lvlText w:val=""/>
      <w:lvlJc w:val="left"/>
    </w:lvl>
    <w:lvl w:ilvl="7" w:tplc="005C36E4">
      <w:numFmt w:val="decimal"/>
      <w:lvlText w:val=""/>
      <w:lvlJc w:val="left"/>
    </w:lvl>
    <w:lvl w:ilvl="8" w:tplc="5C14BF2C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6BC4C13E"/>
    <w:lvl w:ilvl="0" w:tplc="54E0803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F160A020">
      <w:numFmt w:val="decimal"/>
      <w:lvlText w:val=""/>
      <w:lvlJc w:val="left"/>
    </w:lvl>
    <w:lvl w:ilvl="2" w:tplc="85408CA0">
      <w:numFmt w:val="decimal"/>
      <w:lvlText w:val=""/>
      <w:lvlJc w:val="left"/>
    </w:lvl>
    <w:lvl w:ilvl="3" w:tplc="6694D42A">
      <w:numFmt w:val="decimal"/>
      <w:lvlText w:val=""/>
      <w:lvlJc w:val="left"/>
    </w:lvl>
    <w:lvl w:ilvl="4" w:tplc="F9A25D48">
      <w:numFmt w:val="decimal"/>
      <w:lvlText w:val=""/>
      <w:lvlJc w:val="left"/>
    </w:lvl>
    <w:lvl w:ilvl="5" w:tplc="2618BD86">
      <w:numFmt w:val="decimal"/>
      <w:lvlText w:val=""/>
      <w:lvlJc w:val="left"/>
    </w:lvl>
    <w:lvl w:ilvl="6" w:tplc="5D3EB11C">
      <w:numFmt w:val="decimal"/>
      <w:lvlText w:val=""/>
      <w:lvlJc w:val="left"/>
    </w:lvl>
    <w:lvl w:ilvl="7" w:tplc="1ADA869A">
      <w:numFmt w:val="decimal"/>
      <w:lvlText w:val=""/>
      <w:lvlJc w:val="left"/>
    </w:lvl>
    <w:lvl w:ilvl="8" w:tplc="49F23B2E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D5CC8A2E"/>
    <w:lvl w:ilvl="0" w:tplc="03427CFC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4F2E1F60">
      <w:numFmt w:val="decimal"/>
      <w:lvlText w:val=""/>
      <w:lvlJc w:val="left"/>
    </w:lvl>
    <w:lvl w:ilvl="2" w:tplc="15E42212">
      <w:numFmt w:val="decimal"/>
      <w:lvlText w:val=""/>
      <w:lvlJc w:val="left"/>
    </w:lvl>
    <w:lvl w:ilvl="3" w:tplc="52DE7E84">
      <w:numFmt w:val="decimal"/>
      <w:lvlText w:val=""/>
      <w:lvlJc w:val="left"/>
    </w:lvl>
    <w:lvl w:ilvl="4" w:tplc="277C1248">
      <w:numFmt w:val="decimal"/>
      <w:lvlText w:val=""/>
      <w:lvlJc w:val="left"/>
    </w:lvl>
    <w:lvl w:ilvl="5" w:tplc="CC6CF968">
      <w:numFmt w:val="decimal"/>
      <w:lvlText w:val=""/>
      <w:lvlJc w:val="left"/>
    </w:lvl>
    <w:lvl w:ilvl="6" w:tplc="CD7467D2">
      <w:numFmt w:val="decimal"/>
      <w:lvlText w:val=""/>
      <w:lvlJc w:val="left"/>
    </w:lvl>
    <w:lvl w:ilvl="7" w:tplc="62D02092">
      <w:numFmt w:val="decimal"/>
      <w:lvlText w:val=""/>
      <w:lvlJc w:val="left"/>
    </w:lvl>
    <w:lvl w:ilvl="8" w:tplc="DDC66F72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A67A3976"/>
    <w:lvl w:ilvl="0" w:tplc="5CAA67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D36C170">
      <w:numFmt w:val="decimal"/>
      <w:lvlText w:val=""/>
      <w:lvlJc w:val="left"/>
    </w:lvl>
    <w:lvl w:ilvl="2" w:tplc="71F07F04">
      <w:numFmt w:val="decimal"/>
      <w:lvlText w:val=""/>
      <w:lvlJc w:val="left"/>
    </w:lvl>
    <w:lvl w:ilvl="3" w:tplc="2D5A38A0">
      <w:numFmt w:val="decimal"/>
      <w:lvlText w:val=""/>
      <w:lvlJc w:val="left"/>
    </w:lvl>
    <w:lvl w:ilvl="4" w:tplc="C2CEE7D6">
      <w:numFmt w:val="decimal"/>
      <w:lvlText w:val=""/>
      <w:lvlJc w:val="left"/>
    </w:lvl>
    <w:lvl w:ilvl="5" w:tplc="C0C4D74A">
      <w:numFmt w:val="decimal"/>
      <w:lvlText w:val=""/>
      <w:lvlJc w:val="left"/>
    </w:lvl>
    <w:lvl w:ilvl="6" w:tplc="EEDAC7FA">
      <w:numFmt w:val="decimal"/>
      <w:lvlText w:val=""/>
      <w:lvlJc w:val="left"/>
    </w:lvl>
    <w:lvl w:ilvl="7" w:tplc="38DCB5BA">
      <w:numFmt w:val="decimal"/>
      <w:lvlText w:val=""/>
      <w:lvlJc w:val="left"/>
    </w:lvl>
    <w:lvl w:ilvl="8" w:tplc="288010A2">
      <w:numFmt w:val="decimal"/>
      <w:lvlText w:val=""/>
      <w:lvlJc w:val="left"/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CA43DC"/>
    <w:multiLevelType w:val="hybridMultilevel"/>
    <w:tmpl w:val="31FA9B9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213ED5"/>
    <w:multiLevelType w:val="hybridMultilevel"/>
    <w:tmpl w:val="EBD83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423D0"/>
    <w:multiLevelType w:val="hybridMultilevel"/>
    <w:tmpl w:val="199E2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2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B6460"/>
    <w:multiLevelType w:val="hybridMultilevel"/>
    <w:tmpl w:val="F21EE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297C"/>
    <w:multiLevelType w:val="hybridMultilevel"/>
    <w:tmpl w:val="5C604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14"/>
  </w:num>
  <w:num w:numId="4">
    <w:abstractNumId w:val="9"/>
  </w:num>
  <w:num w:numId="5">
    <w:abstractNumId w:val="10"/>
  </w:num>
  <w:num w:numId="6">
    <w:abstractNumId w:val="41"/>
  </w:num>
  <w:num w:numId="7">
    <w:abstractNumId w:val="25"/>
  </w:num>
  <w:num w:numId="8">
    <w:abstractNumId w:val="15"/>
  </w:num>
  <w:num w:numId="9">
    <w:abstractNumId w:val="40"/>
  </w:num>
  <w:num w:numId="10">
    <w:abstractNumId w:val="24"/>
  </w:num>
  <w:num w:numId="11">
    <w:abstractNumId w:val="13"/>
  </w:num>
  <w:num w:numId="12">
    <w:abstractNumId w:val="33"/>
  </w:num>
  <w:num w:numId="13">
    <w:abstractNumId w:val="34"/>
  </w:num>
  <w:num w:numId="14">
    <w:abstractNumId w:val="32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27"/>
  </w:num>
  <w:num w:numId="26">
    <w:abstractNumId w:val="16"/>
  </w:num>
  <w:num w:numId="27">
    <w:abstractNumId w:val="21"/>
  </w:num>
  <w:num w:numId="28">
    <w:abstractNumId w:val="38"/>
  </w:num>
  <w:num w:numId="29">
    <w:abstractNumId w:val="39"/>
  </w:num>
  <w:num w:numId="30">
    <w:abstractNumId w:val="26"/>
  </w:num>
  <w:num w:numId="31">
    <w:abstractNumId w:val="23"/>
  </w:num>
  <w:num w:numId="32">
    <w:abstractNumId w:val="18"/>
  </w:num>
  <w:num w:numId="33">
    <w:abstractNumId w:val="29"/>
  </w:num>
  <w:num w:numId="34">
    <w:abstractNumId w:val="12"/>
  </w:num>
  <w:num w:numId="35">
    <w:abstractNumId w:val="11"/>
  </w:num>
  <w:num w:numId="36">
    <w:abstractNumId w:val="37"/>
  </w:num>
  <w:num w:numId="37">
    <w:abstractNumId w:val="22"/>
  </w:num>
  <w:num w:numId="38">
    <w:abstractNumId w:val="17"/>
  </w:num>
  <w:num w:numId="39">
    <w:abstractNumId w:val="30"/>
  </w:num>
  <w:num w:numId="40">
    <w:abstractNumId w:val="36"/>
  </w:num>
  <w:num w:numId="41">
    <w:abstractNumId w:val="35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F01"/>
    <w:rsid w:val="00072A62"/>
    <w:rsid w:val="00074356"/>
    <w:rsid w:val="00074A6D"/>
    <w:rsid w:val="00074E0B"/>
    <w:rsid w:val="00076551"/>
    <w:rsid w:val="00076577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894"/>
    <w:rsid w:val="000C6AF3"/>
    <w:rsid w:val="000C6D96"/>
    <w:rsid w:val="000C7039"/>
    <w:rsid w:val="000C720B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04AF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2EB9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5DFE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2F2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6B5A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150"/>
    <w:rsid w:val="002F3A38"/>
    <w:rsid w:val="002F5310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39F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0E7"/>
    <w:rsid w:val="0038731B"/>
    <w:rsid w:val="00387439"/>
    <w:rsid w:val="00391257"/>
    <w:rsid w:val="0039304A"/>
    <w:rsid w:val="003942E3"/>
    <w:rsid w:val="003953AB"/>
    <w:rsid w:val="00395BF2"/>
    <w:rsid w:val="00395FDA"/>
    <w:rsid w:val="003976C3"/>
    <w:rsid w:val="003A68D5"/>
    <w:rsid w:val="003B2140"/>
    <w:rsid w:val="003B50E1"/>
    <w:rsid w:val="003B600A"/>
    <w:rsid w:val="003B6B71"/>
    <w:rsid w:val="003B6E2B"/>
    <w:rsid w:val="003C14DD"/>
    <w:rsid w:val="003C2323"/>
    <w:rsid w:val="003C304E"/>
    <w:rsid w:val="003C333B"/>
    <w:rsid w:val="003C48A5"/>
    <w:rsid w:val="003C4E37"/>
    <w:rsid w:val="003C7671"/>
    <w:rsid w:val="003D50E6"/>
    <w:rsid w:val="003D5944"/>
    <w:rsid w:val="003D59CD"/>
    <w:rsid w:val="003D687E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5ED6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5A00"/>
    <w:rsid w:val="00477373"/>
    <w:rsid w:val="00480550"/>
    <w:rsid w:val="00483AFF"/>
    <w:rsid w:val="00484DBF"/>
    <w:rsid w:val="00485002"/>
    <w:rsid w:val="004862A9"/>
    <w:rsid w:val="00486CD7"/>
    <w:rsid w:val="00487F58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308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1A17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1803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5C9E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0CFF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2EB8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1EFD"/>
    <w:rsid w:val="006A213B"/>
    <w:rsid w:val="006A364A"/>
    <w:rsid w:val="006A43F7"/>
    <w:rsid w:val="006A50DB"/>
    <w:rsid w:val="006A54D5"/>
    <w:rsid w:val="006A5590"/>
    <w:rsid w:val="006A7A4D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08E3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0D1"/>
    <w:rsid w:val="0076250D"/>
    <w:rsid w:val="00765BA8"/>
    <w:rsid w:val="00765E5A"/>
    <w:rsid w:val="007709F9"/>
    <w:rsid w:val="00771873"/>
    <w:rsid w:val="00772865"/>
    <w:rsid w:val="00772E0E"/>
    <w:rsid w:val="00775840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131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142D"/>
    <w:rsid w:val="008120E4"/>
    <w:rsid w:val="00813CDA"/>
    <w:rsid w:val="0081452D"/>
    <w:rsid w:val="008176B8"/>
    <w:rsid w:val="00820849"/>
    <w:rsid w:val="008218C2"/>
    <w:rsid w:val="00824626"/>
    <w:rsid w:val="00827C3E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1ADF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0EB8"/>
    <w:rsid w:val="008B3641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09E6"/>
    <w:rsid w:val="0090271F"/>
    <w:rsid w:val="00902F2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6D27"/>
    <w:rsid w:val="0097184A"/>
    <w:rsid w:val="00971C47"/>
    <w:rsid w:val="009726C7"/>
    <w:rsid w:val="00972C97"/>
    <w:rsid w:val="00972E18"/>
    <w:rsid w:val="009735D6"/>
    <w:rsid w:val="00974BB0"/>
    <w:rsid w:val="009816B5"/>
    <w:rsid w:val="00984571"/>
    <w:rsid w:val="00985308"/>
    <w:rsid w:val="0098548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A66E5"/>
    <w:rsid w:val="009B0898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E5B34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323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A6DA7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57A37"/>
    <w:rsid w:val="00B61A9F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11A3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2D76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2AE"/>
    <w:rsid w:val="00C4286B"/>
    <w:rsid w:val="00C430F9"/>
    <w:rsid w:val="00C43CDF"/>
    <w:rsid w:val="00C46F5C"/>
    <w:rsid w:val="00C5249E"/>
    <w:rsid w:val="00C5434A"/>
    <w:rsid w:val="00C600BD"/>
    <w:rsid w:val="00C60947"/>
    <w:rsid w:val="00C62265"/>
    <w:rsid w:val="00C622CD"/>
    <w:rsid w:val="00C64FF9"/>
    <w:rsid w:val="00C66F3D"/>
    <w:rsid w:val="00C67D12"/>
    <w:rsid w:val="00C73EC3"/>
    <w:rsid w:val="00C7411C"/>
    <w:rsid w:val="00C74479"/>
    <w:rsid w:val="00C760C9"/>
    <w:rsid w:val="00C76BD2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3135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27B"/>
    <w:rsid w:val="00DB254D"/>
    <w:rsid w:val="00DB7186"/>
    <w:rsid w:val="00DB75AD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60C8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25B"/>
    <w:rsid w:val="00E02877"/>
    <w:rsid w:val="00E048B4"/>
    <w:rsid w:val="00E05545"/>
    <w:rsid w:val="00E05A6D"/>
    <w:rsid w:val="00E05FB9"/>
    <w:rsid w:val="00E07E67"/>
    <w:rsid w:val="00E10381"/>
    <w:rsid w:val="00E12845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6DED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6CA3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7722"/>
    <w:rsid w:val="00F31A73"/>
    <w:rsid w:val="00F37743"/>
    <w:rsid w:val="00F402FC"/>
    <w:rsid w:val="00F4075E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7DC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358D844A"/>
    <w:rsid w:val="4E34666F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0D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5AIRPNAIUNRU-1774131100-1816</_dlc_DocId>
    <_dlc_DocIdUrl xmlns="71c5aaf6-e6ce-465b-b873-5148d2a4c105">
      <Url>https://nokia.sharepoint.com/sites/c5g/projects/nas/_layouts/15/DocIdRedir.aspx?ID=5AIRPNAIUNRU-1774131100-1816</Url>
      <Description>5AIRPNAIUNRU-1774131100-1816</Description>
    </_dlc_DocIdUrl>
    <_Flow_SignoffStatus xmlns="6d0092ff-228e-48cb-9ef6-dbafe0d3bd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3.xml><?xml version="1.0" encoding="utf-8"?>
<ds:datastoreItem xmlns:ds="http://schemas.openxmlformats.org/officeDocument/2006/customXml" ds:itemID="{AFF2BE87-517B-477C-8A69-C23C1747D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1E813-D3BF-4015-9719-45D29D92C1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BB1FB5E-838C-4DB2-93CF-F638D6513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Load information enhancements</vt:lpstr>
    </vt:vector>
  </TitlesOfParts>
  <Company>Nokia, Nokia Shanghai Bell</Company>
  <LinksUpToDate>false</LinksUpToDate>
  <CharactersWithSpaces>3103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Load information enhancements for BWP</dc:title>
  <dc:subject>3GPP RAN3 #111-e</dc:subject>
  <dc:creator>Benoist Sébire</dc:creator>
  <cp:keywords>&lt;keyword[, keyword, ]&gt;</cp:keywords>
  <dc:description/>
  <cp:lastModifiedBy>Nokia</cp:lastModifiedBy>
  <cp:revision>38</cp:revision>
  <cp:lastPrinted>2019-03-27T07:16:00Z</cp:lastPrinted>
  <dcterms:created xsi:type="dcterms:W3CDTF">2020-12-03T10:09:00Z</dcterms:created>
  <dcterms:modified xsi:type="dcterms:W3CDTF">2021-01-14T11:04:00Z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8a5c974b-29ac-4f90-8251-cdd772c72bae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0x01010059F07CC03704FA4687B1B83D0C61B4E3</vt:lpwstr>
  </property>
</Properties>
</file>